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86321" w14:textId="21F627EF" w:rsidR="001623ED" w:rsidRPr="009434B8" w:rsidRDefault="008A6FD8" w:rsidP="008A6FD8">
      <w:pPr>
        <w:pStyle w:val="KeinLeerraum"/>
        <w:rPr>
          <w:rFonts w:ascii="Arial" w:hAnsi="Arial" w:cs="Arial"/>
          <w:b/>
          <w:sz w:val="28"/>
        </w:rPr>
      </w:pPr>
      <w:r w:rsidRPr="009434B8">
        <w:rPr>
          <w:rFonts w:ascii="Arial" w:hAnsi="Arial" w:cs="Arial"/>
          <w:b/>
          <w:sz w:val="28"/>
        </w:rPr>
        <w:t>Gebäudeenergiegesetz</w:t>
      </w:r>
    </w:p>
    <w:p w14:paraId="7B66BE6F" w14:textId="04924A4E" w:rsidR="008A6FD8" w:rsidRDefault="008A6FD8" w:rsidP="008A6FD8">
      <w:pPr>
        <w:pStyle w:val="KeinLeerraum"/>
        <w:rPr>
          <w:rFonts w:ascii="Arial" w:hAnsi="Arial" w:cs="Arial"/>
        </w:rPr>
      </w:pPr>
    </w:p>
    <w:p w14:paraId="7B393267" w14:textId="532D55F3" w:rsidR="008A6FD8" w:rsidRDefault="001220B9" w:rsidP="008A6FD8">
      <w:pPr>
        <w:pStyle w:val="KeinLeerraum"/>
        <w:rPr>
          <w:rFonts w:ascii="Arial" w:hAnsi="Arial" w:cs="Arial"/>
        </w:rPr>
      </w:pPr>
      <w:r>
        <w:rPr>
          <w:rFonts w:ascii="Arial" w:hAnsi="Arial" w:cs="Arial"/>
        </w:rPr>
        <w:t>In der Vergangenheit gab es im Bereich Wohngebäude verschiedene Gesetze zu energetischen Anforderungen. Am 1. November 2020 ist das Gebäudeenergiegesetz (GEG) in Kraft getreten. Es vereint die bisherige Energieeinsparverordnung (EnEV), das Energieeinsparungsgesetz (EnEG) sowie das Erneuerbare-Energien-Wärmegesetz (EEWärmeG).</w:t>
      </w:r>
    </w:p>
    <w:p w14:paraId="373B3EFB" w14:textId="76EBE14C" w:rsidR="001220B9" w:rsidRDefault="001220B9" w:rsidP="008A6FD8">
      <w:pPr>
        <w:pStyle w:val="KeinLeerraum"/>
        <w:rPr>
          <w:rFonts w:ascii="Arial" w:hAnsi="Arial" w:cs="Arial"/>
        </w:rPr>
      </w:pPr>
      <w:bookmarkStart w:id="0" w:name="_GoBack"/>
      <w:bookmarkEnd w:id="0"/>
    </w:p>
    <w:p w14:paraId="522F10B4" w14:textId="3141C0AC" w:rsidR="001220B9" w:rsidRDefault="001220B9" w:rsidP="008A6FD8">
      <w:pPr>
        <w:pStyle w:val="KeinLeerraum"/>
        <w:rPr>
          <w:rFonts w:ascii="Arial" w:hAnsi="Arial" w:cs="Arial"/>
        </w:rPr>
      </w:pPr>
      <w:r>
        <w:rPr>
          <w:rFonts w:ascii="Arial" w:hAnsi="Arial" w:cs="Arial"/>
        </w:rPr>
        <w:t xml:space="preserve">Das GEG gilt für alle beheizten oder klimatisierten </w:t>
      </w:r>
      <w:r w:rsidR="00551B34">
        <w:rPr>
          <w:rFonts w:ascii="Arial" w:hAnsi="Arial" w:cs="Arial"/>
        </w:rPr>
        <w:t>G</w:t>
      </w:r>
      <w:r>
        <w:rPr>
          <w:rFonts w:ascii="Arial" w:hAnsi="Arial" w:cs="Arial"/>
        </w:rPr>
        <w:t>ebäude und</w:t>
      </w:r>
      <w:r w:rsidR="00551B34">
        <w:rPr>
          <w:rFonts w:ascii="Arial" w:hAnsi="Arial" w:cs="Arial"/>
        </w:rPr>
        <w:t xml:space="preserve"> legt Vorgaben </w:t>
      </w:r>
      <w:r w:rsidR="00DA6600">
        <w:rPr>
          <w:rFonts w:ascii="Arial" w:hAnsi="Arial" w:cs="Arial"/>
        </w:rPr>
        <w:t xml:space="preserve">insbesondere </w:t>
      </w:r>
      <w:r w:rsidR="00551B34">
        <w:rPr>
          <w:rFonts w:ascii="Arial" w:hAnsi="Arial" w:cs="Arial"/>
        </w:rPr>
        <w:t>für die Heiztechnik sowie die Gebäudehülle fest.</w:t>
      </w:r>
      <w:r w:rsidR="00DA6600">
        <w:rPr>
          <w:rFonts w:ascii="Arial" w:hAnsi="Arial" w:cs="Arial"/>
        </w:rPr>
        <w:t xml:space="preserve"> Außerdem sind Anforderungen an</w:t>
      </w:r>
      <w:r w:rsidR="00584458">
        <w:rPr>
          <w:rFonts w:ascii="Arial" w:hAnsi="Arial" w:cs="Arial"/>
        </w:rPr>
        <w:t xml:space="preserve"> den Luftaustausch, die Minimierung von Wärmebrücken und den sommerlichen Hitzeschutz formuliert.</w:t>
      </w:r>
    </w:p>
    <w:p w14:paraId="758FCD84" w14:textId="149CF778" w:rsidR="00551B34" w:rsidRDefault="00551B34" w:rsidP="008A6FD8">
      <w:pPr>
        <w:pStyle w:val="KeinLeerraum"/>
        <w:rPr>
          <w:rFonts w:ascii="Arial" w:hAnsi="Arial" w:cs="Arial"/>
        </w:rPr>
      </w:pPr>
      <w:r>
        <w:rPr>
          <w:rFonts w:ascii="Arial" w:hAnsi="Arial" w:cs="Arial"/>
        </w:rPr>
        <w:t>Bei der</w:t>
      </w:r>
      <w:r w:rsidR="00C51AF4">
        <w:rPr>
          <w:rFonts w:ascii="Arial" w:hAnsi="Arial" w:cs="Arial"/>
        </w:rPr>
        <w:t xml:space="preserve"> Betrachtung des Energiebedarfs eines Gebäudes werden folgende Aspekte miteinbezogen:</w:t>
      </w:r>
    </w:p>
    <w:p w14:paraId="64CE6DAA" w14:textId="112EF74C" w:rsidR="00C51AF4" w:rsidRDefault="00C51AF4" w:rsidP="00C51AF4">
      <w:pPr>
        <w:pStyle w:val="KeinLeerraum"/>
        <w:numPr>
          <w:ilvl w:val="0"/>
          <w:numId w:val="1"/>
        </w:numPr>
        <w:rPr>
          <w:rFonts w:ascii="Arial" w:hAnsi="Arial" w:cs="Arial"/>
        </w:rPr>
      </w:pPr>
      <w:r>
        <w:rPr>
          <w:rFonts w:ascii="Arial" w:hAnsi="Arial" w:cs="Arial"/>
        </w:rPr>
        <w:t>Raumheizung und -kühlung</w:t>
      </w:r>
    </w:p>
    <w:p w14:paraId="45E4E3E9" w14:textId="203EF0B9" w:rsidR="00C51AF4" w:rsidRDefault="00C51AF4" w:rsidP="00C51AF4">
      <w:pPr>
        <w:pStyle w:val="KeinLeerraum"/>
        <w:numPr>
          <w:ilvl w:val="0"/>
          <w:numId w:val="1"/>
        </w:numPr>
        <w:rPr>
          <w:rFonts w:ascii="Arial" w:hAnsi="Arial" w:cs="Arial"/>
        </w:rPr>
      </w:pPr>
      <w:r>
        <w:rPr>
          <w:rFonts w:ascii="Arial" w:hAnsi="Arial" w:cs="Arial"/>
        </w:rPr>
        <w:t>Warmwassererzeugung</w:t>
      </w:r>
    </w:p>
    <w:p w14:paraId="29A5A227" w14:textId="42570131" w:rsidR="00C51AF4" w:rsidRDefault="00DA6600" w:rsidP="00C51AF4">
      <w:pPr>
        <w:pStyle w:val="KeinLeerraum"/>
        <w:numPr>
          <w:ilvl w:val="0"/>
          <w:numId w:val="1"/>
        </w:numPr>
        <w:rPr>
          <w:rFonts w:ascii="Arial" w:hAnsi="Arial" w:cs="Arial"/>
        </w:rPr>
      </w:pPr>
      <w:r>
        <w:rPr>
          <w:rFonts w:ascii="Arial" w:hAnsi="Arial" w:cs="Arial"/>
        </w:rPr>
        <w:t>Betrieb von Lüftungsanlagen</w:t>
      </w:r>
    </w:p>
    <w:p w14:paraId="1ED588B9" w14:textId="0E44698E" w:rsidR="00DA6600" w:rsidRDefault="00DA6600" w:rsidP="00C51AF4">
      <w:pPr>
        <w:pStyle w:val="KeinLeerraum"/>
        <w:numPr>
          <w:ilvl w:val="0"/>
          <w:numId w:val="1"/>
        </w:numPr>
        <w:rPr>
          <w:rFonts w:ascii="Arial" w:hAnsi="Arial" w:cs="Arial"/>
        </w:rPr>
      </w:pPr>
      <w:r>
        <w:rPr>
          <w:rFonts w:ascii="Arial" w:hAnsi="Arial" w:cs="Arial"/>
        </w:rPr>
        <w:t>Strom für Heizungspumpen, Heizkessel, Lüftungsanlagen, Regler usw.</w:t>
      </w:r>
    </w:p>
    <w:p w14:paraId="71921FE9" w14:textId="428950BD" w:rsidR="00DA6600" w:rsidRDefault="00DA6600" w:rsidP="00584458">
      <w:pPr>
        <w:pStyle w:val="KeinLeerraum"/>
        <w:rPr>
          <w:rFonts w:ascii="Arial" w:hAnsi="Arial" w:cs="Arial"/>
        </w:rPr>
      </w:pPr>
    </w:p>
    <w:p w14:paraId="28EB3CBA" w14:textId="354EDB17" w:rsidR="00584458" w:rsidRPr="007340BD" w:rsidRDefault="00584458" w:rsidP="00584458">
      <w:pPr>
        <w:pStyle w:val="KeinLeerraum"/>
        <w:rPr>
          <w:rFonts w:ascii="Arial" w:hAnsi="Arial" w:cs="Arial"/>
          <w:b/>
        </w:rPr>
      </w:pPr>
      <w:r w:rsidRPr="007340BD">
        <w:rPr>
          <w:rFonts w:ascii="Arial" w:hAnsi="Arial" w:cs="Arial"/>
          <w:b/>
        </w:rPr>
        <w:t>Anforderungen für den Neubau</w:t>
      </w:r>
    </w:p>
    <w:p w14:paraId="2D37DD5E" w14:textId="4F8A5582" w:rsidR="00584458" w:rsidRDefault="00584458" w:rsidP="00584458">
      <w:pPr>
        <w:pStyle w:val="KeinLeerraum"/>
        <w:rPr>
          <w:rFonts w:ascii="Arial" w:hAnsi="Arial" w:cs="Arial"/>
        </w:rPr>
      </w:pPr>
      <w:r>
        <w:rPr>
          <w:rFonts w:ascii="Arial" w:hAnsi="Arial" w:cs="Arial"/>
        </w:rPr>
        <w:t xml:space="preserve">Durch das GEG sollen </w:t>
      </w:r>
      <w:r w:rsidR="00F733CC">
        <w:rPr>
          <w:rFonts w:ascii="Arial" w:hAnsi="Arial" w:cs="Arial"/>
        </w:rPr>
        <w:t xml:space="preserve">bei </w:t>
      </w:r>
      <w:r>
        <w:rPr>
          <w:rFonts w:ascii="Arial" w:hAnsi="Arial" w:cs="Arial"/>
        </w:rPr>
        <w:t xml:space="preserve">Neubauten die Auswirkungen </w:t>
      </w:r>
      <w:r w:rsidR="00F733CC">
        <w:rPr>
          <w:rFonts w:ascii="Arial" w:hAnsi="Arial" w:cs="Arial"/>
        </w:rPr>
        <w:t xml:space="preserve">- insbesondere des Energiebedarfs für Heizen und Warmwasserbereitung - </w:t>
      </w:r>
      <w:r>
        <w:rPr>
          <w:rFonts w:ascii="Arial" w:hAnsi="Arial" w:cs="Arial"/>
        </w:rPr>
        <w:t>auf die Umwelt von Anfang an möglichst minimiert werden.</w:t>
      </w:r>
      <w:r w:rsidR="00F733CC">
        <w:rPr>
          <w:rFonts w:ascii="Arial" w:hAnsi="Arial" w:cs="Arial"/>
        </w:rPr>
        <w:t xml:space="preserve"> Für die Beurteilung gibt es zwei Verfahren: </w:t>
      </w:r>
      <w:r w:rsidR="00B00F82">
        <w:rPr>
          <w:rFonts w:ascii="Arial" w:hAnsi="Arial" w:cs="Arial"/>
        </w:rPr>
        <w:t xml:space="preserve">die </w:t>
      </w:r>
      <w:r w:rsidR="00F733CC">
        <w:rPr>
          <w:rFonts w:ascii="Arial" w:hAnsi="Arial" w:cs="Arial"/>
        </w:rPr>
        <w:t xml:space="preserve">Berechnung der Primärenergie </w:t>
      </w:r>
      <w:r w:rsidR="00B00F82">
        <w:rPr>
          <w:rFonts w:ascii="Arial" w:hAnsi="Arial" w:cs="Arial"/>
        </w:rPr>
        <w:t>oder die</w:t>
      </w:r>
      <w:r w:rsidR="00F733CC">
        <w:rPr>
          <w:rFonts w:ascii="Arial" w:hAnsi="Arial" w:cs="Arial"/>
        </w:rPr>
        <w:t xml:space="preserve"> Berechnung der zulässigen Treibhausgase (CO</w:t>
      </w:r>
      <w:r w:rsidR="00F733CC" w:rsidRPr="00F733CC">
        <w:rPr>
          <w:rFonts w:ascii="Arial" w:hAnsi="Arial" w:cs="Arial"/>
          <w:vertAlign w:val="subscript"/>
        </w:rPr>
        <w:t>2</w:t>
      </w:r>
      <w:r w:rsidR="00F733CC">
        <w:rPr>
          <w:rFonts w:ascii="Arial" w:hAnsi="Arial" w:cs="Arial"/>
        </w:rPr>
        <w:t>).</w:t>
      </w:r>
    </w:p>
    <w:p w14:paraId="0966663B" w14:textId="386C98D6" w:rsidR="00F733CC" w:rsidRDefault="00F733CC" w:rsidP="00584458">
      <w:pPr>
        <w:pStyle w:val="KeinLeerraum"/>
        <w:rPr>
          <w:rFonts w:ascii="Arial" w:hAnsi="Arial" w:cs="Arial"/>
        </w:rPr>
      </w:pPr>
    </w:p>
    <w:p w14:paraId="39301472" w14:textId="04E3E28F" w:rsidR="00F733CC" w:rsidRDefault="00F733CC" w:rsidP="00584458">
      <w:pPr>
        <w:pStyle w:val="KeinLeerraum"/>
        <w:rPr>
          <w:rFonts w:ascii="Arial" w:hAnsi="Arial" w:cs="Arial"/>
        </w:rPr>
      </w:pPr>
      <w:r>
        <w:rPr>
          <w:rFonts w:ascii="Arial" w:hAnsi="Arial" w:cs="Arial"/>
        </w:rPr>
        <w:t xml:space="preserve">Für die Berechnung des zulässigen Primärenergiebedarfs wird die gesamte Energie betrachtet, die das Gebäude benötigt. Den verwendeten Energieträgern werden dabei </w:t>
      </w:r>
      <w:r w:rsidR="00967EFD">
        <w:rPr>
          <w:rFonts w:ascii="Arial" w:hAnsi="Arial" w:cs="Arial"/>
        </w:rPr>
        <w:t xml:space="preserve">mit </w:t>
      </w:r>
      <w:r>
        <w:rPr>
          <w:rFonts w:ascii="Arial" w:hAnsi="Arial" w:cs="Arial"/>
        </w:rPr>
        <w:t>sogenannte</w:t>
      </w:r>
      <w:r w:rsidR="00967EFD">
        <w:rPr>
          <w:rFonts w:ascii="Arial" w:hAnsi="Arial" w:cs="Arial"/>
        </w:rPr>
        <w:t>n</w:t>
      </w:r>
      <w:r>
        <w:rPr>
          <w:rFonts w:ascii="Arial" w:hAnsi="Arial" w:cs="Arial"/>
        </w:rPr>
        <w:t xml:space="preserve"> Primärenergiefaktoren </w:t>
      </w:r>
      <w:r w:rsidR="00967EFD">
        <w:rPr>
          <w:rFonts w:ascii="Arial" w:hAnsi="Arial" w:cs="Arial"/>
        </w:rPr>
        <w:t>multipliziert</w:t>
      </w:r>
      <w:r>
        <w:rPr>
          <w:rFonts w:ascii="Arial" w:hAnsi="Arial" w:cs="Arial"/>
        </w:rPr>
        <w:t>.</w:t>
      </w:r>
      <w:r w:rsidR="00967EFD">
        <w:rPr>
          <w:rFonts w:ascii="Arial" w:hAnsi="Arial" w:cs="Arial"/>
        </w:rPr>
        <w:t xml:space="preserve"> Erneuerbare Energien (z.B. Holzpellets) haben</w:t>
      </w:r>
      <w:r w:rsidR="00BC19C3">
        <w:rPr>
          <w:rFonts w:ascii="Arial" w:hAnsi="Arial" w:cs="Arial"/>
        </w:rPr>
        <w:t xml:space="preserve"> </w:t>
      </w:r>
      <w:r w:rsidR="00967EFD">
        <w:rPr>
          <w:rFonts w:ascii="Arial" w:hAnsi="Arial" w:cs="Arial"/>
        </w:rPr>
        <w:t>einen kleinen Primärenergiefaktor, Erdgas ist ein höherer Faktor zugeordnet und der Strommix aus dem Netz</w:t>
      </w:r>
      <w:r w:rsidR="002A77AB">
        <w:rPr>
          <w:rFonts w:ascii="Arial" w:hAnsi="Arial" w:cs="Arial"/>
        </w:rPr>
        <w:t xml:space="preserve"> hat einen noch höheren Faktor. Bei Fernwärme variiert der Faktor je nach Standort.</w:t>
      </w:r>
      <w:r w:rsidR="00805A55">
        <w:rPr>
          <w:rFonts w:ascii="Arial" w:hAnsi="Arial" w:cs="Arial"/>
        </w:rPr>
        <w:t xml:space="preserve"> Bei diesem Verfahren ist es erforderlich zumindest einen Teil der Energieversorgung durch erneuerbare Energien zu decken.</w:t>
      </w:r>
    </w:p>
    <w:p w14:paraId="6A3B3395" w14:textId="0568225C" w:rsidR="00F733CC" w:rsidRDefault="00F733CC" w:rsidP="00584458">
      <w:pPr>
        <w:pStyle w:val="KeinLeerraum"/>
        <w:rPr>
          <w:rFonts w:ascii="Arial" w:hAnsi="Arial" w:cs="Arial"/>
        </w:rPr>
      </w:pPr>
    </w:p>
    <w:p w14:paraId="3D0A49C1" w14:textId="418AAB9A" w:rsidR="002114F4" w:rsidRDefault="002A77AB" w:rsidP="00584458">
      <w:pPr>
        <w:pStyle w:val="KeinLeerraum"/>
        <w:rPr>
          <w:rFonts w:ascii="Arial" w:hAnsi="Arial" w:cs="Arial"/>
        </w:rPr>
      </w:pPr>
      <w:r>
        <w:rPr>
          <w:rFonts w:ascii="Arial" w:hAnsi="Arial" w:cs="Arial"/>
        </w:rPr>
        <w:t>Auch für die Berechnung der zulässigen Treibhausgase werden die eingesetzten Energieträger mit Faktoren multipliziert. Die hier verwendeten „Emissionsfaktoren“ unterscheiden sich von den o.g. Primärenergiefaktoren.</w:t>
      </w:r>
      <w:r w:rsidR="00805A55">
        <w:rPr>
          <w:rFonts w:ascii="Arial" w:hAnsi="Arial" w:cs="Arial"/>
        </w:rPr>
        <w:t xml:space="preserve"> Außerdem ist ein Grenzwert für die genutzte Endenergie festgelegt.</w:t>
      </w:r>
      <w:r w:rsidR="00B00F82">
        <w:rPr>
          <w:rFonts w:ascii="Arial" w:hAnsi="Arial" w:cs="Arial"/>
        </w:rPr>
        <w:t xml:space="preserve"> Bei diesem Verfahren ist es nicht zwingend erforderlich erneuerbare Energien zu nutzen. Die Nutzung dieses Verfahrens muss bei der örtlichen Behörde beantragt werden. Außerdem muss spätestens ein Jahr nach Bauabschluss </w:t>
      </w:r>
      <w:r w:rsidR="0096699A">
        <w:rPr>
          <w:rFonts w:ascii="Arial" w:hAnsi="Arial" w:cs="Arial"/>
        </w:rPr>
        <w:t>ein Bericht zu Investitionskosten, Energieverbräuchen und Erfahrungen mit der Berechnungsmethode bei der Behörde vorgelegt werden.</w:t>
      </w:r>
    </w:p>
    <w:p w14:paraId="3F566EE8" w14:textId="7FE60FC7" w:rsidR="00EB0C84" w:rsidRDefault="00EB0C84" w:rsidP="00584458">
      <w:pPr>
        <w:pStyle w:val="KeinLeerraum"/>
        <w:rPr>
          <w:rFonts w:ascii="Arial" w:hAnsi="Arial" w:cs="Arial"/>
        </w:rPr>
      </w:pPr>
    </w:p>
    <w:p w14:paraId="37F852FC" w14:textId="377C0961" w:rsidR="00073938" w:rsidRPr="00073938" w:rsidRDefault="00073938" w:rsidP="00584458">
      <w:pPr>
        <w:pStyle w:val="KeinLeerraum"/>
        <w:rPr>
          <w:rFonts w:ascii="Arial" w:hAnsi="Arial" w:cs="Arial"/>
          <w:b/>
        </w:rPr>
      </w:pPr>
      <w:r w:rsidRPr="00073938">
        <w:rPr>
          <w:rFonts w:ascii="Arial" w:hAnsi="Arial" w:cs="Arial"/>
          <w:b/>
        </w:rPr>
        <w:t>Verpflichtungen für Bestandsgebäude</w:t>
      </w:r>
    </w:p>
    <w:p w14:paraId="52B18B15" w14:textId="4AD926C1" w:rsidR="00073938" w:rsidRDefault="00073938" w:rsidP="00584458">
      <w:pPr>
        <w:pStyle w:val="KeinLeerraum"/>
        <w:rPr>
          <w:rFonts w:ascii="Arial" w:hAnsi="Arial" w:cs="Arial"/>
        </w:rPr>
      </w:pPr>
      <w:r>
        <w:rPr>
          <w:rFonts w:ascii="Arial" w:hAnsi="Arial" w:cs="Arial"/>
        </w:rPr>
        <w:t>Für Mehrfamilienhäuser gibt es verschiedene Austausch- und Nachrüstpflichten. Auch beim Kauf eines Ein- oder Zweifamilienhauses müssen diese Pflichten innerhalb von 2 Jahren erfüllt werden. Wenn sie als Eigentümer seit Februar 2002 das Ein- oder Zweifamilienhaus selbst bewohnen, sind sie von dieser Pflicht ausgenommen.</w:t>
      </w:r>
    </w:p>
    <w:p w14:paraId="07B0A244" w14:textId="1594BE8C" w:rsidR="000D3784" w:rsidRDefault="007023A0" w:rsidP="007023A0">
      <w:pPr>
        <w:pStyle w:val="KeinLeerraum"/>
        <w:numPr>
          <w:ilvl w:val="0"/>
          <w:numId w:val="1"/>
        </w:numPr>
        <w:rPr>
          <w:rFonts w:ascii="Arial" w:hAnsi="Arial" w:cs="Arial"/>
        </w:rPr>
      </w:pPr>
      <w:r>
        <w:rPr>
          <w:rFonts w:ascii="Arial" w:hAnsi="Arial" w:cs="Arial"/>
        </w:rPr>
        <w:t>Bestimmte Heizkessel, die älter als 30 Jahre sind, müssen ausgetauscht werden. Brennwert- und Niedertemperaturkessel sind ausgenommen. Der zuständige Schornsteinfeger</w:t>
      </w:r>
      <w:r w:rsidR="00A62F47">
        <w:rPr>
          <w:rFonts w:ascii="Arial" w:hAnsi="Arial" w:cs="Arial"/>
        </w:rPr>
        <w:t xml:space="preserve"> informiert sie bei der regelmäßigen </w:t>
      </w:r>
      <w:proofErr w:type="spellStart"/>
      <w:r w:rsidR="00A62F47">
        <w:rPr>
          <w:rFonts w:ascii="Arial" w:hAnsi="Arial" w:cs="Arial"/>
        </w:rPr>
        <w:t>Feuerstättenschau</w:t>
      </w:r>
      <w:proofErr w:type="spellEnd"/>
      <w:r w:rsidR="00A62F47">
        <w:rPr>
          <w:rFonts w:ascii="Arial" w:hAnsi="Arial" w:cs="Arial"/>
        </w:rPr>
        <w:t xml:space="preserve"> entsprechend.</w:t>
      </w:r>
    </w:p>
    <w:p w14:paraId="065EC7AC" w14:textId="5D3A326D" w:rsidR="00A62F47" w:rsidRDefault="00800765" w:rsidP="007023A0">
      <w:pPr>
        <w:pStyle w:val="KeinLeerraum"/>
        <w:numPr>
          <w:ilvl w:val="0"/>
          <w:numId w:val="1"/>
        </w:numPr>
        <w:rPr>
          <w:rFonts w:ascii="Arial" w:hAnsi="Arial" w:cs="Arial"/>
        </w:rPr>
      </w:pPr>
      <w:r>
        <w:rPr>
          <w:rFonts w:ascii="Arial" w:hAnsi="Arial" w:cs="Arial"/>
        </w:rPr>
        <w:t>In unbeheizten Räumen müssen neu installierte Warmwasser-/Heizungsrohre gedämmt werden.</w:t>
      </w:r>
    </w:p>
    <w:p w14:paraId="1CAD7397" w14:textId="723C6B42" w:rsidR="00800765" w:rsidRDefault="00800765" w:rsidP="007023A0">
      <w:pPr>
        <w:pStyle w:val="KeinLeerraum"/>
        <w:numPr>
          <w:ilvl w:val="0"/>
          <w:numId w:val="1"/>
        </w:numPr>
        <w:rPr>
          <w:rFonts w:ascii="Arial" w:hAnsi="Arial" w:cs="Arial"/>
        </w:rPr>
      </w:pPr>
      <w:r>
        <w:rPr>
          <w:rFonts w:ascii="Arial" w:hAnsi="Arial" w:cs="Arial"/>
        </w:rPr>
        <w:t>Die oberste Geschossdecke zu unbeheizten Räumen müssen gedämmt werden, wenn sie die Anforderungen an den Mindestwärmeschutz nicht erfüllen. Alternativ kann das darüber liegende Dach entsprechend gedämmt werden.</w:t>
      </w:r>
    </w:p>
    <w:p w14:paraId="09AD46A7" w14:textId="577C255F" w:rsidR="00073938" w:rsidRDefault="00073938" w:rsidP="00584458">
      <w:pPr>
        <w:pStyle w:val="KeinLeerraum"/>
        <w:rPr>
          <w:rFonts w:ascii="Arial" w:hAnsi="Arial" w:cs="Arial"/>
        </w:rPr>
      </w:pPr>
    </w:p>
    <w:p w14:paraId="50B29846" w14:textId="135573C6" w:rsidR="00073938" w:rsidRPr="002140E3" w:rsidRDefault="005475EC" w:rsidP="00584458">
      <w:pPr>
        <w:pStyle w:val="KeinLeerraum"/>
        <w:rPr>
          <w:rFonts w:ascii="Arial" w:hAnsi="Arial" w:cs="Arial"/>
          <w:b/>
        </w:rPr>
      </w:pPr>
      <w:r w:rsidRPr="002140E3">
        <w:rPr>
          <w:rFonts w:ascii="Arial" w:hAnsi="Arial" w:cs="Arial"/>
          <w:b/>
        </w:rPr>
        <w:t>Anforderungen bei Sanierung</w:t>
      </w:r>
    </w:p>
    <w:p w14:paraId="504739A9" w14:textId="5ED5F55A" w:rsidR="00410482" w:rsidRDefault="00CD1E84" w:rsidP="00584458">
      <w:pPr>
        <w:pStyle w:val="KeinLeerraum"/>
        <w:rPr>
          <w:rFonts w:ascii="Arial" w:hAnsi="Arial" w:cs="Arial"/>
        </w:rPr>
      </w:pPr>
      <w:r>
        <w:rPr>
          <w:rFonts w:ascii="Arial" w:hAnsi="Arial" w:cs="Arial"/>
        </w:rPr>
        <w:t>Auch wenn sie an ihrem Gebäude energetisch relevante Teile verändern oder modernisieren, müssen sie die im GEG vorgegebene Mindeststandards einhalten. Dies ist z.B. der Fall, wenn sie Fenster austauschen oder die Fassade neu verputzt wird. Soll die Fassade lediglich neu gestrichen</w:t>
      </w:r>
      <w:r w:rsidR="002140E3">
        <w:rPr>
          <w:rFonts w:ascii="Arial" w:hAnsi="Arial" w:cs="Arial"/>
        </w:rPr>
        <w:t>, müssen keine Anforderungen berücksichtigt werden. Es wird jedoch empfohlen in diesem Zuge die Fassade auch energetisch zu optimieren, da ohnehin ein Gerüst aufgestellt wird.</w:t>
      </w:r>
    </w:p>
    <w:p w14:paraId="5132622C" w14:textId="2AC95150" w:rsidR="002140E3" w:rsidRDefault="002140E3" w:rsidP="00584458">
      <w:pPr>
        <w:pStyle w:val="KeinLeerraum"/>
        <w:rPr>
          <w:rFonts w:ascii="Arial" w:hAnsi="Arial" w:cs="Arial"/>
        </w:rPr>
      </w:pPr>
      <w:r>
        <w:rPr>
          <w:rFonts w:ascii="Arial" w:hAnsi="Arial" w:cs="Arial"/>
        </w:rPr>
        <w:t>Um die Anforderungen zu erfüllen, gibt es 2 verschiedene Möglichkeiten:</w:t>
      </w:r>
    </w:p>
    <w:p w14:paraId="08413E96" w14:textId="5D76CDEA" w:rsidR="002140E3" w:rsidRDefault="002140E3" w:rsidP="002140E3">
      <w:pPr>
        <w:pStyle w:val="KeinLeerraum"/>
        <w:numPr>
          <w:ilvl w:val="0"/>
          <w:numId w:val="1"/>
        </w:numPr>
        <w:rPr>
          <w:rFonts w:ascii="Arial" w:hAnsi="Arial" w:cs="Arial"/>
        </w:rPr>
      </w:pPr>
      <w:r>
        <w:rPr>
          <w:rFonts w:ascii="Arial" w:hAnsi="Arial" w:cs="Arial"/>
        </w:rPr>
        <w:t>Bei einzelnen Sanierungsmaßnahmen (z.B. Dämmung der Fassade) oder der Erneuerung einzelner Bauteile (z.B. Austausch von Fenstern) schreibt das GEG Anforderungen an den Wärmedurchgangskoeffizienten (U-Wert) vor.</w:t>
      </w:r>
    </w:p>
    <w:p w14:paraId="31C68125" w14:textId="033F59D3" w:rsidR="007E5EA6" w:rsidRDefault="007E5EA6" w:rsidP="002140E3">
      <w:pPr>
        <w:pStyle w:val="KeinLeerraum"/>
        <w:numPr>
          <w:ilvl w:val="0"/>
          <w:numId w:val="1"/>
        </w:numPr>
        <w:rPr>
          <w:rFonts w:ascii="Arial" w:hAnsi="Arial" w:cs="Arial"/>
        </w:rPr>
      </w:pPr>
      <w:r>
        <w:rPr>
          <w:rFonts w:ascii="Arial" w:hAnsi="Arial" w:cs="Arial"/>
        </w:rPr>
        <w:t xml:space="preserve">Im Falle einer umfassenden Modernisierung, die mit einem Neubau vergleichbar ist, wird eine energetische Gesamtbilanzierung durchgeführt. Ebenfalls wie beim Neubau wird hierbei der Primärenergiebedarf berechnet oder </w:t>
      </w:r>
      <w:r w:rsidR="00DB6C0D">
        <w:rPr>
          <w:rFonts w:ascii="Arial" w:hAnsi="Arial" w:cs="Arial"/>
        </w:rPr>
        <w:t xml:space="preserve">nach Zustimmung der Baubehörde </w:t>
      </w:r>
      <w:r>
        <w:rPr>
          <w:rFonts w:ascii="Arial" w:hAnsi="Arial" w:cs="Arial"/>
        </w:rPr>
        <w:t>das Verfahren zur</w:t>
      </w:r>
      <w:r w:rsidR="00DB6C0D">
        <w:rPr>
          <w:rFonts w:ascii="Arial" w:hAnsi="Arial" w:cs="Arial"/>
        </w:rPr>
        <w:t xml:space="preserve"> Berechnung der Treibhausgase angewandt.</w:t>
      </w:r>
    </w:p>
    <w:p w14:paraId="7A8323D4" w14:textId="55896F55" w:rsidR="00800765" w:rsidRDefault="00800765" w:rsidP="00584458">
      <w:pPr>
        <w:pStyle w:val="KeinLeerraum"/>
        <w:rPr>
          <w:rFonts w:ascii="Arial" w:hAnsi="Arial" w:cs="Arial"/>
        </w:rPr>
      </w:pPr>
    </w:p>
    <w:p w14:paraId="1480F556" w14:textId="47A93814" w:rsidR="00F632C3" w:rsidRDefault="00F632C3" w:rsidP="00584458">
      <w:pPr>
        <w:pStyle w:val="KeinLeerraum"/>
        <w:rPr>
          <w:rFonts w:ascii="Arial" w:hAnsi="Arial" w:cs="Arial"/>
        </w:rPr>
      </w:pPr>
      <w:r>
        <w:rPr>
          <w:rFonts w:ascii="Arial" w:hAnsi="Arial" w:cs="Arial"/>
        </w:rPr>
        <w:t>In der folgenden Tabelle erhalten sie einen Überblick über die Anforderungen des GEG bei der Erneuerung verschiedener Bauteile sowie eine Orientierungswert für die Umsetzung der Maßnahmen.</w:t>
      </w:r>
    </w:p>
    <w:p w14:paraId="41D93EF7" w14:textId="4651728E" w:rsidR="00F632C3" w:rsidRDefault="00F632C3" w:rsidP="00584458">
      <w:pPr>
        <w:pStyle w:val="KeinLeerraum"/>
        <w:rPr>
          <w:rFonts w:ascii="Arial" w:hAnsi="Arial" w:cs="Arial"/>
        </w:rPr>
      </w:pPr>
    </w:p>
    <w:tbl>
      <w:tblPr>
        <w:tblStyle w:val="Tabellenraster"/>
        <w:tblW w:w="0" w:type="auto"/>
        <w:tblLook w:val="04A0" w:firstRow="1" w:lastRow="0" w:firstColumn="1" w:lastColumn="0" w:noHBand="0" w:noVBand="1"/>
      </w:tblPr>
      <w:tblGrid>
        <w:gridCol w:w="3964"/>
        <w:gridCol w:w="1843"/>
        <w:gridCol w:w="2693"/>
      </w:tblGrid>
      <w:tr w:rsidR="00F632C3" w14:paraId="38D8F669" w14:textId="77777777" w:rsidTr="009434B8">
        <w:tc>
          <w:tcPr>
            <w:tcW w:w="3964" w:type="dxa"/>
          </w:tcPr>
          <w:p w14:paraId="7F030989" w14:textId="06082D42" w:rsidR="00F632C3" w:rsidRPr="009434B8" w:rsidRDefault="00F632C3" w:rsidP="00584458">
            <w:pPr>
              <w:pStyle w:val="KeinLeerraum"/>
              <w:rPr>
                <w:rFonts w:ascii="Arial" w:hAnsi="Arial" w:cs="Arial"/>
                <w:b/>
              </w:rPr>
            </w:pPr>
            <w:r w:rsidRPr="009434B8">
              <w:rPr>
                <w:rFonts w:ascii="Arial" w:hAnsi="Arial" w:cs="Arial"/>
                <w:b/>
              </w:rPr>
              <w:t>Bauteil</w:t>
            </w:r>
          </w:p>
        </w:tc>
        <w:tc>
          <w:tcPr>
            <w:tcW w:w="1843" w:type="dxa"/>
          </w:tcPr>
          <w:p w14:paraId="3291BD03" w14:textId="5A8C27E3" w:rsidR="00F632C3" w:rsidRPr="009434B8" w:rsidRDefault="00F632C3" w:rsidP="00584458">
            <w:pPr>
              <w:pStyle w:val="KeinLeerraum"/>
              <w:rPr>
                <w:rFonts w:ascii="Arial" w:hAnsi="Arial" w:cs="Arial"/>
                <w:b/>
              </w:rPr>
            </w:pPr>
            <w:r w:rsidRPr="009434B8">
              <w:rPr>
                <w:rFonts w:ascii="Arial" w:hAnsi="Arial" w:cs="Arial"/>
                <w:b/>
              </w:rPr>
              <w:t>Geforderter U-Wert [W/m²</w:t>
            </w:r>
            <w:r w:rsidRPr="009434B8">
              <w:rPr>
                <w:rFonts w:ascii="Arial" w:hAnsi="Arial" w:cs="Arial"/>
                <w:b/>
              </w:rPr>
              <w:sym w:font="Symbol" w:char="F0D7"/>
            </w:r>
            <w:r w:rsidRPr="009434B8">
              <w:rPr>
                <w:rFonts w:ascii="Arial" w:hAnsi="Arial" w:cs="Arial"/>
                <w:b/>
              </w:rPr>
              <w:t>K]</w:t>
            </w:r>
          </w:p>
        </w:tc>
        <w:tc>
          <w:tcPr>
            <w:tcW w:w="2693" w:type="dxa"/>
          </w:tcPr>
          <w:p w14:paraId="1C0CF9D4" w14:textId="7E98EB92" w:rsidR="00F632C3" w:rsidRPr="009434B8" w:rsidRDefault="00F632C3" w:rsidP="00584458">
            <w:pPr>
              <w:pStyle w:val="KeinLeerraum"/>
              <w:rPr>
                <w:rFonts w:ascii="Arial" w:hAnsi="Arial" w:cs="Arial"/>
                <w:b/>
              </w:rPr>
            </w:pPr>
            <w:r w:rsidRPr="009434B8">
              <w:rPr>
                <w:rFonts w:ascii="Arial" w:hAnsi="Arial" w:cs="Arial"/>
                <w:b/>
              </w:rPr>
              <w:t>Orientierungswert</w:t>
            </w:r>
          </w:p>
        </w:tc>
      </w:tr>
      <w:tr w:rsidR="00F632C3" w14:paraId="2480017A" w14:textId="77777777" w:rsidTr="009434B8">
        <w:tc>
          <w:tcPr>
            <w:tcW w:w="3964" w:type="dxa"/>
            <w:vAlign w:val="center"/>
          </w:tcPr>
          <w:p w14:paraId="7671DD0D" w14:textId="423ECCAB" w:rsidR="00F632C3" w:rsidRDefault="00F632C3" w:rsidP="009434B8">
            <w:pPr>
              <w:pStyle w:val="KeinLeerraum"/>
              <w:rPr>
                <w:rFonts w:ascii="Arial" w:hAnsi="Arial" w:cs="Arial"/>
              </w:rPr>
            </w:pPr>
            <w:r>
              <w:rPr>
                <w:rFonts w:ascii="Arial" w:hAnsi="Arial" w:cs="Arial"/>
              </w:rPr>
              <w:t>Außenwand</w:t>
            </w:r>
          </w:p>
        </w:tc>
        <w:tc>
          <w:tcPr>
            <w:tcW w:w="1843" w:type="dxa"/>
            <w:vAlign w:val="center"/>
          </w:tcPr>
          <w:p w14:paraId="093A43CC" w14:textId="7822CC63" w:rsidR="00F632C3" w:rsidRDefault="00F632C3" w:rsidP="009434B8">
            <w:pPr>
              <w:pStyle w:val="KeinLeerraum"/>
              <w:jc w:val="center"/>
              <w:rPr>
                <w:rFonts w:ascii="Arial" w:hAnsi="Arial" w:cs="Arial"/>
              </w:rPr>
            </w:pPr>
            <w:r>
              <w:rPr>
                <w:rFonts w:ascii="Arial" w:hAnsi="Arial" w:cs="Arial"/>
              </w:rPr>
              <w:t>0,24</w:t>
            </w:r>
          </w:p>
        </w:tc>
        <w:tc>
          <w:tcPr>
            <w:tcW w:w="2693" w:type="dxa"/>
            <w:vAlign w:val="center"/>
          </w:tcPr>
          <w:p w14:paraId="1B479731" w14:textId="03BFB226" w:rsidR="00F632C3" w:rsidRDefault="00F632C3" w:rsidP="009434B8">
            <w:pPr>
              <w:pStyle w:val="KeinLeerraum"/>
              <w:rPr>
                <w:rFonts w:ascii="Arial" w:hAnsi="Arial" w:cs="Arial"/>
              </w:rPr>
            </w:pPr>
            <w:r>
              <w:rPr>
                <w:rFonts w:ascii="Arial" w:hAnsi="Arial" w:cs="Arial"/>
              </w:rPr>
              <w:t>12-16 cm Dämmung</w:t>
            </w:r>
          </w:p>
        </w:tc>
      </w:tr>
      <w:tr w:rsidR="00F632C3" w14:paraId="5CD742AE" w14:textId="77777777" w:rsidTr="009434B8">
        <w:tc>
          <w:tcPr>
            <w:tcW w:w="3964" w:type="dxa"/>
            <w:vAlign w:val="center"/>
          </w:tcPr>
          <w:p w14:paraId="55A39A22" w14:textId="77777777" w:rsidR="00F632C3" w:rsidRDefault="00F632C3" w:rsidP="009434B8">
            <w:pPr>
              <w:pStyle w:val="KeinLeerraum"/>
              <w:rPr>
                <w:rFonts w:ascii="Arial" w:hAnsi="Arial" w:cs="Arial"/>
              </w:rPr>
            </w:pPr>
            <w:r>
              <w:rPr>
                <w:rFonts w:ascii="Arial" w:hAnsi="Arial" w:cs="Arial"/>
              </w:rPr>
              <w:t xml:space="preserve">Fenster </w:t>
            </w:r>
          </w:p>
          <w:p w14:paraId="5DC57485" w14:textId="24690505" w:rsidR="00F632C3" w:rsidRDefault="00F632C3" w:rsidP="009434B8">
            <w:pPr>
              <w:pStyle w:val="KeinLeerraum"/>
              <w:rPr>
                <w:rFonts w:ascii="Arial" w:hAnsi="Arial" w:cs="Arial"/>
              </w:rPr>
            </w:pPr>
            <w:r w:rsidRPr="009434B8">
              <w:rPr>
                <w:rFonts w:ascii="Arial" w:hAnsi="Arial" w:cs="Arial"/>
                <w:sz w:val="18"/>
              </w:rPr>
              <w:t>(U-Wert des gesamten Fensters, meist als U</w:t>
            </w:r>
            <w:r w:rsidRPr="009434B8">
              <w:rPr>
                <w:rFonts w:ascii="Arial" w:hAnsi="Arial" w:cs="Arial"/>
                <w:sz w:val="18"/>
                <w:vertAlign w:val="subscript"/>
              </w:rPr>
              <w:t>W</w:t>
            </w:r>
            <w:r w:rsidRPr="009434B8">
              <w:rPr>
                <w:rFonts w:ascii="Arial" w:hAnsi="Arial" w:cs="Arial"/>
                <w:sz w:val="18"/>
              </w:rPr>
              <w:t>-Wert angegeben)</w:t>
            </w:r>
          </w:p>
        </w:tc>
        <w:tc>
          <w:tcPr>
            <w:tcW w:w="1843" w:type="dxa"/>
            <w:vAlign w:val="center"/>
          </w:tcPr>
          <w:p w14:paraId="7B13EBED" w14:textId="584B9CCE" w:rsidR="00F632C3" w:rsidRDefault="00F632C3" w:rsidP="009434B8">
            <w:pPr>
              <w:pStyle w:val="KeinLeerraum"/>
              <w:jc w:val="center"/>
              <w:rPr>
                <w:rFonts w:ascii="Arial" w:hAnsi="Arial" w:cs="Arial"/>
              </w:rPr>
            </w:pPr>
            <w:r>
              <w:rPr>
                <w:rFonts w:ascii="Arial" w:hAnsi="Arial" w:cs="Arial"/>
              </w:rPr>
              <w:t>1,30</w:t>
            </w:r>
          </w:p>
        </w:tc>
        <w:tc>
          <w:tcPr>
            <w:tcW w:w="2693" w:type="dxa"/>
            <w:vAlign w:val="center"/>
          </w:tcPr>
          <w:p w14:paraId="464EEC97" w14:textId="545D4D02" w:rsidR="00F632C3" w:rsidRDefault="00F632C3" w:rsidP="009434B8">
            <w:pPr>
              <w:pStyle w:val="KeinLeerraum"/>
              <w:rPr>
                <w:rFonts w:ascii="Arial" w:hAnsi="Arial" w:cs="Arial"/>
              </w:rPr>
            </w:pPr>
            <w:r>
              <w:rPr>
                <w:rFonts w:ascii="Arial" w:hAnsi="Arial" w:cs="Arial"/>
              </w:rPr>
              <w:t>Zweischeiben-Wärmeschutz-Verglasung</w:t>
            </w:r>
          </w:p>
        </w:tc>
      </w:tr>
      <w:tr w:rsidR="00F632C3" w14:paraId="06D02F10" w14:textId="77777777" w:rsidTr="009434B8">
        <w:tc>
          <w:tcPr>
            <w:tcW w:w="3964" w:type="dxa"/>
            <w:vAlign w:val="center"/>
          </w:tcPr>
          <w:p w14:paraId="492607A5" w14:textId="5E3C8E78" w:rsidR="00F632C3" w:rsidRDefault="00F632C3" w:rsidP="009434B8">
            <w:pPr>
              <w:pStyle w:val="KeinLeerraum"/>
              <w:rPr>
                <w:rFonts w:ascii="Arial" w:hAnsi="Arial" w:cs="Arial"/>
              </w:rPr>
            </w:pPr>
            <w:r>
              <w:rPr>
                <w:rFonts w:ascii="Arial" w:hAnsi="Arial" w:cs="Arial"/>
              </w:rPr>
              <w:t>Dachflächenfenster</w:t>
            </w:r>
          </w:p>
        </w:tc>
        <w:tc>
          <w:tcPr>
            <w:tcW w:w="1843" w:type="dxa"/>
            <w:vAlign w:val="center"/>
          </w:tcPr>
          <w:p w14:paraId="53001723" w14:textId="3BEA1896" w:rsidR="00F632C3" w:rsidRDefault="00F632C3" w:rsidP="009434B8">
            <w:pPr>
              <w:pStyle w:val="KeinLeerraum"/>
              <w:jc w:val="center"/>
              <w:rPr>
                <w:rFonts w:ascii="Arial" w:hAnsi="Arial" w:cs="Arial"/>
              </w:rPr>
            </w:pPr>
            <w:r>
              <w:rPr>
                <w:rFonts w:ascii="Arial" w:hAnsi="Arial" w:cs="Arial"/>
              </w:rPr>
              <w:t>1,40</w:t>
            </w:r>
          </w:p>
        </w:tc>
        <w:tc>
          <w:tcPr>
            <w:tcW w:w="2693" w:type="dxa"/>
            <w:vAlign w:val="center"/>
          </w:tcPr>
          <w:p w14:paraId="45847D85" w14:textId="5DF66CE1" w:rsidR="00F632C3" w:rsidRDefault="001200E6" w:rsidP="009434B8">
            <w:pPr>
              <w:pStyle w:val="KeinLeerraum"/>
              <w:rPr>
                <w:rFonts w:ascii="Arial" w:hAnsi="Arial" w:cs="Arial"/>
              </w:rPr>
            </w:pPr>
            <w:r>
              <w:rPr>
                <w:rFonts w:ascii="Arial" w:hAnsi="Arial" w:cs="Arial"/>
              </w:rPr>
              <w:t>Zweischeiben-Wärmeschutz-Verglasung</w:t>
            </w:r>
          </w:p>
        </w:tc>
      </w:tr>
      <w:tr w:rsidR="00F632C3" w14:paraId="337ED9E5" w14:textId="77777777" w:rsidTr="009434B8">
        <w:tc>
          <w:tcPr>
            <w:tcW w:w="3964" w:type="dxa"/>
            <w:vAlign w:val="center"/>
          </w:tcPr>
          <w:p w14:paraId="771C0E2C" w14:textId="77777777" w:rsidR="001200E6" w:rsidRDefault="00F632C3" w:rsidP="009434B8">
            <w:pPr>
              <w:pStyle w:val="KeinLeerraum"/>
              <w:rPr>
                <w:rFonts w:ascii="Arial" w:hAnsi="Arial" w:cs="Arial"/>
              </w:rPr>
            </w:pPr>
            <w:r>
              <w:rPr>
                <w:rFonts w:ascii="Arial" w:hAnsi="Arial" w:cs="Arial"/>
              </w:rPr>
              <w:t>Verglasung</w:t>
            </w:r>
            <w:r w:rsidR="001200E6">
              <w:rPr>
                <w:rFonts w:ascii="Arial" w:hAnsi="Arial" w:cs="Arial"/>
              </w:rPr>
              <w:t xml:space="preserve"> </w:t>
            </w:r>
          </w:p>
          <w:p w14:paraId="7BAA20D2" w14:textId="001D1786" w:rsidR="00F632C3" w:rsidRDefault="001200E6" w:rsidP="009434B8">
            <w:pPr>
              <w:pStyle w:val="KeinLeerraum"/>
              <w:rPr>
                <w:rFonts w:ascii="Arial" w:hAnsi="Arial" w:cs="Arial"/>
              </w:rPr>
            </w:pPr>
            <w:r w:rsidRPr="009434B8">
              <w:rPr>
                <w:rFonts w:ascii="Arial" w:hAnsi="Arial" w:cs="Arial"/>
                <w:sz w:val="18"/>
              </w:rPr>
              <w:t>(für Sonderverglasungen wie u.a. Schallschutzverglasung) gelten andere Werte)</w:t>
            </w:r>
          </w:p>
        </w:tc>
        <w:tc>
          <w:tcPr>
            <w:tcW w:w="1843" w:type="dxa"/>
            <w:vAlign w:val="center"/>
          </w:tcPr>
          <w:p w14:paraId="48BA1857" w14:textId="70A59FC4" w:rsidR="00F632C3" w:rsidRDefault="00F632C3" w:rsidP="009434B8">
            <w:pPr>
              <w:pStyle w:val="KeinLeerraum"/>
              <w:jc w:val="center"/>
              <w:rPr>
                <w:rFonts w:ascii="Arial" w:hAnsi="Arial" w:cs="Arial"/>
              </w:rPr>
            </w:pPr>
            <w:r>
              <w:rPr>
                <w:rFonts w:ascii="Arial" w:hAnsi="Arial" w:cs="Arial"/>
              </w:rPr>
              <w:t>1,10</w:t>
            </w:r>
          </w:p>
        </w:tc>
        <w:tc>
          <w:tcPr>
            <w:tcW w:w="2693" w:type="dxa"/>
            <w:vAlign w:val="center"/>
          </w:tcPr>
          <w:p w14:paraId="2644ABC8" w14:textId="06B4EC49" w:rsidR="00F632C3" w:rsidRDefault="001200E6" w:rsidP="009434B8">
            <w:pPr>
              <w:pStyle w:val="KeinLeerraum"/>
              <w:rPr>
                <w:rFonts w:ascii="Arial" w:hAnsi="Arial" w:cs="Arial"/>
              </w:rPr>
            </w:pPr>
            <w:r>
              <w:rPr>
                <w:rFonts w:ascii="Arial" w:hAnsi="Arial" w:cs="Arial"/>
              </w:rPr>
              <w:t>Zweischeiben-Wärmeschutz-Verglasung</w:t>
            </w:r>
          </w:p>
        </w:tc>
      </w:tr>
      <w:tr w:rsidR="00F632C3" w14:paraId="6D988F38" w14:textId="77777777" w:rsidTr="009434B8">
        <w:tc>
          <w:tcPr>
            <w:tcW w:w="3964" w:type="dxa"/>
            <w:vAlign w:val="center"/>
          </w:tcPr>
          <w:p w14:paraId="2479EF8C" w14:textId="45852328" w:rsidR="00F632C3" w:rsidRDefault="00F632C3" w:rsidP="009434B8">
            <w:pPr>
              <w:pStyle w:val="KeinLeerraum"/>
              <w:rPr>
                <w:rFonts w:ascii="Arial" w:hAnsi="Arial" w:cs="Arial"/>
              </w:rPr>
            </w:pPr>
            <w:r>
              <w:rPr>
                <w:rFonts w:ascii="Arial" w:hAnsi="Arial" w:cs="Arial"/>
              </w:rPr>
              <w:t>Dachschrägen, Steildächer</w:t>
            </w:r>
          </w:p>
        </w:tc>
        <w:tc>
          <w:tcPr>
            <w:tcW w:w="1843" w:type="dxa"/>
            <w:vAlign w:val="center"/>
          </w:tcPr>
          <w:p w14:paraId="74E7A107" w14:textId="34502997" w:rsidR="00F632C3" w:rsidRDefault="00F632C3" w:rsidP="009434B8">
            <w:pPr>
              <w:pStyle w:val="KeinLeerraum"/>
              <w:jc w:val="center"/>
              <w:rPr>
                <w:rFonts w:ascii="Arial" w:hAnsi="Arial" w:cs="Arial"/>
              </w:rPr>
            </w:pPr>
            <w:r>
              <w:rPr>
                <w:rFonts w:ascii="Arial" w:hAnsi="Arial" w:cs="Arial"/>
              </w:rPr>
              <w:t>0,24</w:t>
            </w:r>
          </w:p>
        </w:tc>
        <w:tc>
          <w:tcPr>
            <w:tcW w:w="2693" w:type="dxa"/>
            <w:vAlign w:val="center"/>
          </w:tcPr>
          <w:p w14:paraId="75197B35" w14:textId="2FFFBC99" w:rsidR="00F632C3" w:rsidRDefault="001200E6" w:rsidP="009434B8">
            <w:pPr>
              <w:pStyle w:val="KeinLeerraum"/>
              <w:rPr>
                <w:rFonts w:ascii="Arial" w:hAnsi="Arial" w:cs="Arial"/>
              </w:rPr>
            </w:pPr>
            <w:r>
              <w:rPr>
                <w:rFonts w:ascii="Arial" w:hAnsi="Arial" w:cs="Arial"/>
              </w:rPr>
              <w:t>14-18 cm Dämmung</w:t>
            </w:r>
          </w:p>
        </w:tc>
      </w:tr>
      <w:tr w:rsidR="00F632C3" w14:paraId="40AF9C71" w14:textId="77777777" w:rsidTr="009434B8">
        <w:tc>
          <w:tcPr>
            <w:tcW w:w="3964" w:type="dxa"/>
            <w:vAlign w:val="center"/>
          </w:tcPr>
          <w:p w14:paraId="10BB5800" w14:textId="0CA7250A" w:rsidR="00F632C3" w:rsidRDefault="001200E6" w:rsidP="009434B8">
            <w:pPr>
              <w:pStyle w:val="KeinLeerraum"/>
              <w:rPr>
                <w:rFonts w:ascii="Arial" w:hAnsi="Arial" w:cs="Arial"/>
              </w:rPr>
            </w:pPr>
            <w:r>
              <w:rPr>
                <w:rFonts w:ascii="Arial" w:hAnsi="Arial" w:cs="Arial"/>
              </w:rPr>
              <w:t>Oberste Geschossdecke</w:t>
            </w:r>
          </w:p>
        </w:tc>
        <w:tc>
          <w:tcPr>
            <w:tcW w:w="1843" w:type="dxa"/>
            <w:vAlign w:val="center"/>
          </w:tcPr>
          <w:p w14:paraId="7E2BA6D4" w14:textId="6A0B232B" w:rsidR="00F632C3" w:rsidRDefault="001200E6" w:rsidP="009434B8">
            <w:pPr>
              <w:pStyle w:val="KeinLeerraum"/>
              <w:jc w:val="center"/>
              <w:rPr>
                <w:rFonts w:ascii="Arial" w:hAnsi="Arial" w:cs="Arial"/>
              </w:rPr>
            </w:pPr>
            <w:r>
              <w:rPr>
                <w:rFonts w:ascii="Arial" w:hAnsi="Arial" w:cs="Arial"/>
              </w:rPr>
              <w:t>0,24</w:t>
            </w:r>
          </w:p>
        </w:tc>
        <w:tc>
          <w:tcPr>
            <w:tcW w:w="2693" w:type="dxa"/>
            <w:vAlign w:val="center"/>
          </w:tcPr>
          <w:p w14:paraId="6BAC0102" w14:textId="0C4B2EF8" w:rsidR="00F632C3" w:rsidRDefault="009434B8" w:rsidP="009434B8">
            <w:pPr>
              <w:pStyle w:val="KeinLeerraum"/>
              <w:rPr>
                <w:rFonts w:ascii="Arial" w:hAnsi="Arial" w:cs="Arial"/>
              </w:rPr>
            </w:pPr>
            <w:r>
              <w:rPr>
                <w:rFonts w:ascii="Arial" w:hAnsi="Arial" w:cs="Arial"/>
              </w:rPr>
              <w:t>14-18 cm Dämmung</w:t>
            </w:r>
          </w:p>
        </w:tc>
      </w:tr>
      <w:tr w:rsidR="001200E6" w14:paraId="7A3F2E23" w14:textId="77777777" w:rsidTr="009434B8">
        <w:tc>
          <w:tcPr>
            <w:tcW w:w="3964" w:type="dxa"/>
            <w:vAlign w:val="center"/>
          </w:tcPr>
          <w:p w14:paraId="75A8F219" w14:textId="09214B64" w:rsidR="001200E6" w:rsidRDefault="009434B8" w:rsidP="009434B8">
            <w:pPr>
              <w:pStyle w:val="KeinLeerraum"/>
              <w:rPr>
                <w:rFonts w:ascii="Arial" w:hAnsi="Arial" w:cs="Arial"/>
              </w:rPr>
            </w:pPr>
            <w:r>
              <w:rPr>
                <w:rFonts w:ascii="Arial" w:hAnsi="Arial" w:cs="Arial"/>
              </w:rPr>
              <w:t>Flachdächer</w:t>
            </w:r>
          </w:p>
        </w:tc>
        <w:tc>
          <w:tcPr>
            <w:tcW w:w="1843" w:type="dxa"/>
            <w:vAlign w:val="center"/>
          </w:tcPr>
          <w:p w14:paraId="6D5CB2DF" w14:textId="74ED3937" w:rsidR="001200E6" w:rsidRDefault="009434B8" w:rsidP="009434B8">
            <w:pPr>
              <w:pStyle w:val="KeinLeerraum"/>
              <w:jc w:val="center"/>
              <w:rPr>
                <w:rFonts w:ascii="Arial" w:hAnsi="Arial" w:cs="Arial"/>
              </w:rPr>
            </w:pPr>
            <w:r>
              <w:rPr>
                <w:rFonts w:ascii="Arial" w:hAnsi="Arial" w:cs="Arial"/>
              </w:rPr>
              <w:t>0,20</w:t>
            </w:r>
          </w:p>
        </w:tc>
        <w:tc>
          <w:tcPr>
            <w:tcW w:w="2693" w:type="dxa"/>
            <w:vAlign w:val="center"/>
          </w:tcPr>
          <w:p w14:paraId="184716B7" w14:textId="0969467F" w:rsidR="001200E6" w:rsidRDefault="009434B8" w:rsidP="009434B8">
            <w:pPr>
              <w:pStyle w:val="KeinLeerraum"/>
              <w:rPr>
                <w:rFonts w:ascii="Arial" w:hAnsi="Arial" w:cs="Arial"/>
              </w:rPr>
            </w:pPr>
            <w:r>
              <w:rPr>
                <w:rFonts w:ascii="Arial" w:hAnsi="Arial" w:cs="Arial"/>
              </w:rPr>
              <w:t>16-20 cm Dämmung</w:t>
            </w:r>
          </w:p>
        </w:tc>
      </w:tr>
      <w:tr w:rsidR="00F632C3" w14:paraId="7C11ADC8" w14:textId="77777777" w:rsidTr="009434B8">
        <w:tc>
          <w:tcPr>
            <w:tcW w:w="3964" w:type="dxa"/>
            <w:vAlign w:val="center"/>
          </w:tcPr>
          <w:p w14:paraId="1460252F" w14:textId="77777777" w:rsidR="009434B8" w:rsidRDefault="009434B8" w:rsidP="009434B8">
            <w:pPr>
              <w:pStyle w:val="KeinLeerraum"/>
              <w:rPr>
                <w:rFonts w:ascii="Arial" w:hAnsi="Arial" w:cs="Arial"/>
              </w:rPr>
            </w:pPr>
            <w:r>
              <w:rPr>
                <w:rFonts w:ascii="Arial" w:hAnsi="Arial" w:cs="Arial"/>
              </w:rPr>
              <w:t xml:space="preserve">Wände/Decken gegen unbeheizten Keller, Bodenplatte </w:t>
            </w:r>
          </w:p>
          <w:p w14:paraId="2C11787D" w14:textId="6039618C" w:rsidR="00F632C3" w:rsidRDefault="009434B8" w:rsidP="009434B8">
            <w:pPr>
              <w:pStyle w:val="KeinLeerraum"/>
              <w:rPr>
                <w:rFonts w:ascii="Arial" w:hAnsi="Arial" w:cs="Arial"/>
              </w:rPr>
            </w:pPr>
            <w:r w:rsidRPr="009434B8">
              <w:rPr>
                <w:rFonts w:ascii="Arial" w:hAnsi="Arial" w:cs="Arial"/>
                <w:sz w:val="18"/>
              </w:rPr>
              <w:t>(wenn der Fußboden auf der beheizten Seite grundlegend erneuert wird)</w:t>
            </w:r>
          </w:p>
        </w:tc>
        <w:tc>
          <w:tcPr>
            <w:tcW w:w="1843" w:type="dxa"/>
            <w:vAlign w:val="center"/>
          </w:tcPr>
          <w:p w14:paraId="35481A4B" w14:textId="15B282F9" w:rsidR="00F632C3" w:rsidRDefault="009434B8" w:rsidP="009434B8">
            <w:pPr>
              <w:pStyle w:val="KeinLeerraum"/>
              <w:jc w:val="center"/>
              <w:rPr>
                <w:rFonts w:ascii="Arial" w:hAnsi="Arial" w:cs="Arial"/>
              </w:rPr>
            </w:pPr>
            <w:r>
              <w:rPr>
                <w:rFonts w:ascii="Arial" w:hAnsi="Arial" w:cs="Arial"/>
              </w:rPr>
              <w:t>0,50</w:t>
            </w:r>
          </w:p>
        </w:tc>
        <w:tc>
          <w:tcPr>
            <w:tcW w:w="2693" w:type="dxa"/>
            <w:vAlign w:val="center"/>
          </w:tcPr>
          <w:p w14:paraId="2A2582A5" w14:textId="019F6D47" w:rsidR="00F632C3" w:rsidRDefault="009434B8" w:rsidP="009434B8">
            <w:pPr>
              <w:pStyle w:val="KeinLeerraum"/>
              <w:rPr>
                <w:rFonts w:ascii="Arial" w:hAnsi="Arial" w:cs="Arial"/>
              </w:rPr>
            </w:pPr>
            <w:r>
              <w:rPr>
                <w:rFonts w:ascii="Arial" w:hAnsi="Arial" w:cs="Arial"/>
              </w:rPr>
              <w:t>4-5 cm Dämmung</w:t>
            </w:r>
          </w:p>
        </w:tc>
      </w:tr>
      <w:tr w:rsidR="001200E6" w14:paraId="51EC656D" w14:textId="77777777" w:rsidTr="009434B8">
        <w:tc>
          <w:tcPr>
            <w:tcW w:w="3964" w:type="dxa"/>
            <w:vAlign w:val="center"/>
          </w:tcPr>
          <w:p w14:paraId="4B8A5465" w14:textId="2613EE08" w:rsidR="001200E6" w:rsidRDefault="009434B8" w:rsidP="009434B8">
            <w:pPr>
              <w:pStyle w:val="KeinLeerraum"/>
              <w:rPr>
                <w:rFonts w:ascii="Arial" w:hAnsi="Arial" w:cs="Arial"/>
              </w:rPr>
            </w:pPr>
            <w:r>
              <w:rPr>
                <w:rFonts w:ascii="Arial" w:hAnsi="Arial" w:cs="Arial"/>
              </w:rPr>
              <w:t>Decken, die nach unten an Außenluft grenzen</w:t>
            </w:r>
          </w:p>
        </w:tc>
        <w:tc>
          <w:tcPr>
            <w:tcW w:w="1843" w:type="dxa"/>
            <w:vAlign w:val="center"/>
          </w:tcPr>
          <w:p w14:paraId="14D48E65" w14:textId="0010477C" w:rsidR="001200E6" w:rsidRDefault="009434B8" w:rsidP="009434B8">
            <w:pPr>
              <w:pStyle w:val="KeinLeerraum"/>
              <w:jc w:val="center"/>
              <w:rPr>
                <w:rFonts w:ascii="Arial" w:hAnsi="Arial" w:cs="Arial"/>
              </w:rPr>
            </w:pPr>
            <w:r>
              <w:rPr>
                <w:rFonts w:ascii="Arial" w:hAnsi="Arial" w:cs="Arial"/>
              </w:rPr>
              <w:t>0,24</w:t>
            </w:r>
          </w:p>
        </w:tc>
        <w:tc>
          <w:tcPr>
            <w:tcW w:w="2693" w:type="dxa"/>
            <w:vAlign w:val="center"/>
          </w:tcPr>
          <w:p w14:paraId="39677B27" w14:textId="71BFE58C" w:rsidR="001200E6" w:rsidRDefault="009434B8" w:rsidP="009434B8">
            <w:pPr>
              <w:pStyle w:val="KeinLeerraum"/>
              <w:rPr>
                <w:rFonts w:ascii="Arial" w:hAnsi="Arial" w:cs="Arial"/>
              </w:rPr>
            </w:pPr>
            <w:r>
              <w:rPr>
                <w:rFonts w:ascii="Arial" w:hAnsi="Arial" w:cs="Arial"/>
              </w:rPr>
              <w:t>14-18 cm Dämmung</w:t>
            </w:r>
          </w:p>
        </w:tc>
      </w:tr>
    </w:tbl>
    <w:p w14:paraId="07474E09" w14:textId="72B9160F" w:rsidR="00F632C3" w:rsidRDefault="00F632C3" w:rsidP="00584458">
      <w:pPr>
        <w:pStyle w:val="KeinLeerraum"/>
        <w:rPr>
          <w:rFonts w:ascii="Arial" w:hAnsi="Arial" w:cs="Arial"/>
        </w:rPr>
      </w:pPr>
    </w:p>
    <w:p w14:paraId="117CEDDA" w14:textId="077E8DC0" w:rsidR="00F632C3" w:rsidRDefault="00F632C3" w:rsidP="00584458">
      <w:pPr>
        <w:pStyle w:val="KeinLeerraum"/>
        <w:rPr>
          <w:rFonts w:ascii="Arial" w:hAnsi="Arial" w:cs="Arial"/>
        </w:rPr>
      </w:pPr>
      <w:r>
        <w:rPr>
          <w:rFonts w:ascii="Arial" w:hAnsi="Arial" w:cs="Arial"/>
        </w:rPr>
        <w:t xml:space="preserve">Möchten sie aktuelle Förderprogramme in Anspruch nehmen, müssen je nach Programm und Fördermittelgeber deutlich höhere Anforderungen eingehalten werden. </w:t>
      </w:r>
    </w:p>
    <w:p w14:paraId="40164EA3" w14:textId="77777777" w:rsidR="00800765" w:rsidRDefault="00800765" w:rsidP="00584458">
      <w:pPr>
        <w:pStyle w:val="KeinLeerraum"/>
        <w:rPr>
          <w:rFonts w:ascii="Arial" w:hAnsi="Arial" w:cs="Arial"/>
        </w:rPr>
      </w:pPr>
    </w:p>
    <w:p w14:paraId="0CA9D608" w14:textId="6BC267D3" w:rsidR="00421998" w:rsidRDefault="00410482" w:rsidP="00584458">
      <w:pPr>
        <w:pStyle w:val="KeinLeerraum"/>
        <w:rPr>
          <w:rFonts w:ascii="Arial" w:hAnsi="Arial" w:cs="Arial"/>
        </w:rPr>
      </w:pPr>
      <w:r>
        <w:rPr>
          <w:rFonts w:ascii="Arial" w:hAnsi="Arial" w:cs="Arial"/>
        </w:rPr>
        <w:t>Einen guten Überblick über die gesetzlichen Anforderungen aus</w:t>
      </w:r>
      <w:r w:rsidR="00CD1E84">
        <w:rPr>
          <w:rFonts w:ascii="Arial" w:hAnsi="Arial" w:cs="Arial"/>
        </w:rPr>
        <w:t xml:space="preserve"> dem Gebäudeenergiegesetz </w:t>
      </w:r>
      <w:r>
        <w:rPr>
          <w:rFonts w:ascii="Arial" w:hAnsi="Arial" w:cs="Arial"/>
        </w:rPr>
        <w:t>erhalten sie auch bei der Verbraucherzentrale. (</w:t>
      </w:r>
      <w:r w:rsidR="00A0290B">
        <w:rPr>
          <w:rFonts w:ascii="Arial" w:hAnsi="Arial" w:cs="Arial"/>
        </w:rPr>
        <w:t xml:space="preserve">Verlinkung: </w:t>
      </w:r>
      <w:hyperlink r:id="rId5" w:history="1">
        <w:r w:rsidR="00A0290B" w:rsidRPr="001A24F4">
          <w:rPr>
            <w:rStyle w:val="Hyperlink"/>
            <w:rFonts w:ascii="Arial" w:hAnsi="Arial" w:cs="Arial"/>
          </w:rPr>
          <w:t>https://www.verbraucherzentrale.de/wissen/energie/energetische-sanierung/geg-was-steht-im-neuen-gebaeudeenergiegesetz-13886</w:t>
        </w:r>
      </w:hyperlink>
      <w:r>
        <w:rPr>
          <w:rFonts w:ascii="Arial" w:hAnsi="Arial" w:cs="Arial"/>
        </w:rPr>
        <w:t>)</w:t>
      </w:r>
    </w:p>
    <w:p w14:paraId="447F73C6" w14:textId="68895DA0" w:rsidR="00551B34" w:rsidRDefault="00551B34" w:rsidP="008A6FD8">
      <w:pPr>
        <w:pStyle w:val="KeinLeerraum"/>
        <w:rPr>
          <w:rFonts w:ascii="Arial" w:hAnsi="Arial" w:cs="Arial"/>
        </w:rPr>
      </w:pPr>
    </w:p>
    <w:p w14:paraId="78D9B623" w14:textId="77777777" w:rsidR="00551B34" w:rsidRPr="008A6FD8" w:rsidRDefault="00551B34" w:rsidP="008A6FD8">
      <w:pPr>
        <w:pStyle w:val="KeinLeerraum"/>
        <w:rPr>
          <w:rFonts w:ascii="Arial" w:hAnsi="Arial" w:cs="Arial"/>
        </w:rPr>
      </w:pPr>
    </w:p>
    <w:sectPr w:rsidR="00551B34" w:rsidRPr="008A6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03C1"/>
    <w:multiLevelType w:val="hybridMultilevel"/>
    <w:tmpl w:val="9D64AF46"/>
    <w:lvl w:ilvl="0" w:tplc="3D649B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D8"/>
    <w:rsid w:val="00073938"/>
    <w:rsid w:val="000D3784"/>
    <w:rsid w:val="001200E6"/>
    <w:rsid w:val="001220B9"/>
    <w:rsid w:val="001623ED"/>
    <w:rsid w:val="002114F4"/>
    <w:rsid w:val="002140E3"/>
    <w:rsid w:val="002A77AB"/>
    <w:rsid w:val="00410482"/>
    <w:rsid w:val="00421998"/>
    <w:rsid w:val="005475EC"/>
    <w:rsid w:val="00551B34"/>
    <w:rsid w:val="00584458"/>
    <w:rsid w:val="007023A0"/>
    <w:rsid w:val="007340BD"/>
    <w:rsid w:val="007E5EA6"/>
    <w:rsid w:val="00800765"/>
    <w:rsid w:val="00805A55"/>
    <w:rsid w:val="008A6FD8"/>
    <w:rsid w:val="00916FFA"/>
    <w:rsid w:val="009434B8"/>
    <w:rsid w:val="0096699A"/>
    <w:rsid w:val="00967EFD"/>
    <w:rsid w:val="00A0290B"/>
    <w:rsid w:val="00A62F47"/>
    <w:rsid w:val="00B00F82"/>
    <w:rsid w:val="00BC19C3"/>
    <w:rsid w:val="00C51AF4"/>
    <w:rsid w:val="00CD1E84"/>
    <w:rsid w:val="00DA6600"/>
    <w:rsid w:val="00DB6C0D"/>
    <w:rsid w:val="00EB0C84"/>
    <w:rsid w:val="00F632C3"/>
    <w:rsid w:val="00F7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DBC1"/>
  <w15:chartTrackingRefBased/>
  <w15:docId w15:val="{0761A155-D2AE-468A-A747-3F327F0F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A6FD8"/>
    <w:pPr>
      <w:spacing w:after="0" w:line="240" w:lineRule="auto"/>
    </w:pPr>
  </w:style>
  <w:style w:type="character" w:styleId="Hyperlink">
    <w:name w:val="Hyperlink"/>
    <w:basedOn w:val="Absatz-Standardschriftart"/>
    <w:uiPriority w:val="99"/>
    <w:unhideWhenUsed/>
    <w:rsid w:val="00A0290B"/>
    <w:rPr>
      <w:color w:val="0563C1" w:themeColor="hyperlink"/>
      <w:u w:val="single"/>
    </w:rPr>
  </w:style>
  <w:style w:type="table" w:styleId="Tabellenraster">
    <w:name w:val="Table Grid"/>
    <w:basedOn w:val="NormaleTabelle"/>
    <w:uiPriority w:val="39"/>
    <w:rsid w:val="00F6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braucherzentrale.de/wissen/energie/energetische-sanierung/geg-was-steht-im-neuen-gebaeudeenergiegesetz-1388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D5DED13E8F6479E33DBA0A13D69D2" ma:contentTypeVersion="9" ma:contentTypeDescription="Ein neues Dokument erstellen." ma:contentTypeScope="" ma:versionID="bacee4c56890a24c42b451c336961ad3">
  <xsd:schema xmlns:xsd="http://www.w3.org/2001/XMLSchema" xmlns:xs="http://www.w3.org/2001/XMLSchema" xmlns:p="http://schemas.microsoft.com/office/2006/metadata/properties" xmlns:ns2="1f708c11-87a4-415e-b7dc-dddf042bfb21" xmlns:ns3="abbb55e0-cd8e-4c10-9cfd-83b4b88e9bbd" targetNamespace="http://schemas.microsoft.com/office/2006/metadata/properties" ma:root="true" ma:fieldsID="adefaef96870cea0e30dad5affcba0fd" ns2:_="" ns3:_="">
    <xsd:import namespace="1f708c11-87a4-415e-b7dc-dddf042bfb21"/>
    <xsd:import namespace="abbb55e0-cd8e-4c10-9cfd-83b4b88e9b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08c11-87a4-415e-b7dc-dddf042bf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f7e08c5-b9f8-4f61-8340-676d65f552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b55e0-cd8e-4c10-9cfd-83b4b88e9b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af4c86-8b59-49e5-a7df-7fd5c6b62b01}" ma:internalName="TaxCatchAll" ma:showField="CatchAllData" ma:web="abbb55e0-cd8e-4c10-9cfd-83b4b88e9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708c11-87a4-415e-b7dc-dddf042bfb21">
      <Terms xmlns="http://schemas.microsoft.com/office/infopath/2007/PartnerControls"/>
    </lcf76f155ced4ddcb4097134ff3c332f>
    <TaxCatchAll xmlns="abbb55e0-cd8e-4c10-9cfd-83b4b88e9bbd" xsi:nil="true"/>
  </documentManagement>
</p:properties>
</file>

<file path=customXml/itemProps1.xml><?xml version="1.0" encoding="utf-8"?>
<ds:datastoreItem xmlns:ds="http://schemas.openxmlformats.org/officeDocument/2006/customXml" ds:itemID="{0896C2D4-DE7B-4FC6-A9E5-B29B3CE7DF76}"/>
</file>

<file path=customXml/itemProps2.xml><?xml version="1.0" encoding="utf-8"?>
<ds:datastoreItem xmlns:ds="http://schemas.openxmlformats.org/officeDocument/2006/customXml" ds:itemID="{A0798F1A-3BB0-4E90-BF9C-12438529B4C8}"/>
</file>

<file path=customXml/itemProps3.xml><?xml version="1.0" encoding="utf-8"?>
<ds:datastoreItem xmlns:ds="http://schemas.openxmlformats.org/officeDocument/2006/customXml" ds:itemID="{B97B8BDB-1347-4B03-9A2D-C147C6AB5E37}"/>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Martin - Energieagentur SBH</dc:creator>
  <cp:keywords/>
  <dc:description/>
  <cp:lastModifiedBy>Nina Martin - Energieagentur SBH</cp:lastModifiedBy>
  <cp:revision>9</cp:revision>
  <dcterms:created xsi:type="dcterms:W3CDTF">2022-05-15T06:46:00Z</dcterms:created>
  <dcterms:modified xsi:type="dcterms:W3CDTF">2022-08-05T09:45:00Z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0x010100850D5DED13E8F6479E33DBA0A13D69D2</vt:lpwstr>
  </property>
</Properties>
</file>